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222DB" w14:textId="0B92655D" w:rsidR="00845843" w:rsidRPr="00F72CCE" w:rsidRDefault="00F72CCE" w:rsidP="00F72CCE">
      <w:pPr>
        <w:jc w:val="right"/>
        <w:rPr>
          <w:rFonts w:ascii="Arial" w:hAnsi="Arial" w:cs="Arial"/>
          <w:b/>
          <w:bCs/>
          <w:sz w:val="24"/>
          <w:szCs w:val="24"/>
        </w:rPr>
      </w:pPr>
      <w:r w:rsidRPr="00F72CCE">
        <w:rPr>
          <w:rFonts w:ascii="Arial" w:hAnsi="Arial" w:cs="Arial"/>
          <w:b/>
          <w:bCs/>
          <w:sz w:val="24"/>
          <w:szCs w:val="24"/>
        </w:rPr>
        <w:t xml:space="preserve">Annexure </w:t>
      </w:r>
      <w:r w:rsidR="007C639F">
        <w:rPr>
          <w:rFonts w:ascii="Arial" w:hAnsi="Arial" w:cs="Arial"/>
          <w:b/>
          <w:bCs/>
          <w:sz w:val="24"/>
          <w:szCs w:val="24"/>
        </w:rPr>
        <w:t>G</w:t>
      </w:r>
      <w:r w:rsidRPr="00F72CCE">
        <w:rPr>
          <w:rFonts w:ascii="Arial" w:hAnsi="Arial" w:cs="Arial"/>
          <w:b/>
          <w:bCs/>
          <w:sz w:val="24"/>
          <w:szCs w:val="24"/>
        </w:rPr>
        <w:t>2</w:t>
      </w:r>
    </w:p>
    <w:p w14:paraId="6110456F" w14:textId="3B9E6003" w:rsidR="000F6244" w:rsidRDefault="000F6244" w:rsidP="00F72CCE">
      <w:pPr>
        <w:spacing w:after="0" w:line="240" w:lineRule="auto"/>
        <w:jc w:val="both"/>
        <w:rPr>
          <w:rFonts w:ascii="Arial" w:hAnsi="Arial" w:cs="Arial"/>
          <w:b/>
          <w:bCs/>
          <w:sz w:val="24"/>
          <w:szCs w:val="24"/>
        </w:rPr>
      </w:pPr>
      <w:r w:rsidRPr="000F6244">
        <w:rPr>
          <w:rFonts w:ascii="Arial" w:hAnsi="Arial" w:cs="Arial"/>
          <w:b/>
          <w:bCs/>
          <w:sz w:val="24"/>
          <w:szCs w:val="24"/>
        </w:rPr>
        <w:t xml:space="preserve">Instructions relating to the completion of the monthly income statement are furnished with reference to the item descriptions and </w:t>
      </w:r>
      <w:proofErr w:type="gramStart"/>
      <w:r w:rsidRPr="000F6244">
        <w:rPr>
          <w:rFonts w:ascii="Arial" w:hAnsi="Arial" w:cs="Arial"/>
          <w:b/>
          <w:bCs/>
          <w:sz w:val="24"/>
          <w:szCs w:val="24"/>
        </w:rPr>
        <w:t>line item</w:t>
      </w:r>
      <w:proofErr w:type="gramEnd"/>
      <w:r w:rsidRPr="000F6244">
        <w:rPr>
          <w:rFonts w:ascii="Arial" w:hAnsi="Arial" w:cs="Arial"/>
          <w:b/>
          <w:bCs/>
          <w:sz w:val="24"/>
          <w:szCs w:val="24"/>
        </w:rPr>
        <w:t xml:space="preserve"> numbers appearing on form DI 200, as follows (where appropriate, the corresponding balance-sheet item number(s) is/are indicated)</w:t>
      </w:r>
      <w:r>
        <w:rPr>
          <w:rFonts w:ascii="Arial" w:hAnsi="Arial" w:cs="Arial"/>
          <w:b/>
          <w:bCs/>
          <w:sz w:val="24"/>
          <w:szCs w:val="24"/>
        </w:rPr>
        <w:t xml:space="preserve">: </w:t>
      </w:r>
    </w:p>
    <w:p w14:paraId="0E409860" w14:textId="77777777" w:rsidR="000F6244" w:rsidRDefault="000F6244" w:rsidP="00F72CCE">
      <w:pPr>
        <w:spacing w:after="0" w:line="240" w:lineRule="auto"/>
        <w:jc w:val="both"/>
        <w:rPr>
          <w:rFonts w:ascii="Arial" w:hAnsi="Arial" w:cs="Arial"/>
          <w:b/>
          <w:bCs/>
          <w:sz w:val="24"/>
          <w:szCs w:val="24"/>
        </w:rPr>
      </w:pPr>
    </w:p>
    <w:p w14:paraId="652347F8" w14:textId="77777777" w:rsidR="00D86D0A" w:rsidRPr="00D86D0A" w:rsidRDefault="00D86D0A" w:rsidP="00D86D0A">
      <w:pPr>
        <w:spacing w:after="0" w:line="240" w:lineRule="auto"/>
        <w:jc w:val="both"/>
        <w:rPr>
          <w:rFonts w:ascii="Arial" w:hAnsi="Arial" w:cs="Arial"/>
          <w:i/>
          <w:iCs/>
          <w:sz w:val="24"/>
          <w:szCs w:val="24"/>
        </w:rPr>
      </w:pPr>
      <w:proofErr w:type="gramStart"/>
      <w:r w:rsidRPr="00D86D0A">
        <w:rPr>
          <w:rFonts w:ascii="Arial" w:hAnsi="Arial" w:cs="Arial"/>
          <w:i/>
          <w:iCs/>
          <w:sz w:val="24"/>
          <w:szCs w:val="24"/>
        </w:rPr>
        <w:t>Line item</w:t>
      </w:r>
      <w:proofErr w:type="gramEnd"/>
      <w:r w:rsidRPr="00D86D0A">
        <w:rPr>
          <w:rFonts w:ascii="Arial" w:hAnsi="Arial" w:cs="Arial"/>
          <w:i/>
          <w:iCs/>
          <w:sz w:val="24"/>
          <w:szCs w:val="24"/>
        </w:rPr>
        <w:t xml:space="preserve"> number</w:t>
      </w:r>
    </w:p>
    <w:p w14:paraId="158CE7BD" w14:textId="3D7D6B7D" w:rsidR="00D86D0A" w:rsidRPr="00D86D0A" w:rsidRDefault="00D86D0A" w:rsidP="00D86D0A">
      <w:pPr>
        <w:spacing w:after="0" w:line="240" w:lineRule="auto"/>
        <w:jc w:val="both"/>
        <w:rPr>
          <w:rFonts w:ascii="Arial" w:hAnsi="Arial" w:cs="Arial"/>
          <w:i/>
          <w:iCs/>
          <w:sz w:val="24"/>
          <w:szCs w:val="24"/>
        </w:rPr>
      </w:pPr>
    </w:p>
    <w:p w14:paraId="59A2EDB0" w14:textId="28837F8C" w:rsidR="00D86D0A" w:rsidRPr="00E51BCF" w:rsidRDefault="00D86D0A" w:rsidP="00BB5268">
      <w:pPr>
        <w:pStyle w:val="ListParagraph"/>
        <w:numPr>
          <w:ilvl w:val="0"/>
          <w:numId w:val="1"/>
        </w:numPr>
        <w:spacing w:after="0" w:line="240" w:lineRule="auto"/>
        <w:ind w:hanging="720"/>
        <w:jc w:val="both"/>
        <w:rPr>
          <w:rFonts w:ascii="Arial" w:hAnsi="Arial" w:cs="Arial"/>
          <w:b/>
          <w:bCs/>
          <w:sz w:val="24"/>
          <w:szCs w:val="24"/>
        </w:rPr>
      </w:pPr>
      <w:r w:rsidRPr="00E51BCF">
        <w:rPr>
          <w:rFonts w:ascii="Arial" w:hAnsi="Arial" w:cs="Arial"/>
          <w:b/>
          <w:bCs/>
          <w:sz w:val="24"/>
          <w:szCs w:val="24"/>
        </w:rPr>
        <w:t>Interest income from loans and advances</w:t>
      </w:r>
    </w:p>
    <w:p w14:paraId="5A856356" w14:textId="5EFF3400" w:rsidR="00D86D0A" w:rsidRPr="00D86D0A" w:rsidRDefault="00D86D0A" w:rsidP="00D86D0A">
      <w:pPr>
        <w:spacing w:after="0" w:line="240" w:lineRule="auto"/>
        <w:jc w:val="both"/>
        <w:rPr>
          <w:rFonts w:ascii="Arial" w:hAnsi="Arial" w:cs="Arial"/>
          <w:sz w:val="24"/>
          <w:szCs w:val="24"/>
        </w:rPr>
      </w:pPr>
    </w:p>
    <w:p w14:paraId="4A40B162" w14:textId="77777777" w:rsidR="00D86D0A" w:rsidRPr="00D86D0A" w:rsidRDefault="00D86D0A" w:rsidP="00BB5268">
      <w:pPr>
        <w:spacing w:after="0" w:line="240" w:lineRule="auto"/>
        <w:ind w:left="720"/>
        <w:jc w:val="both"/>
        <w:rPr>
          <w:rFonts w:ascii="Arial" w:hAnsi="Arial" w:cs="Arial"/>
          <w:sz w:val="24"/>
          <w:szCs w:val="24"/>
        </w:rPr>
      </w:pPr>
      <w:r w:rsidRPr="00D86D0A">
        <w:rPr>
          <w:rFonts w:ascii="Arial" w:hAnsi="Arial" w:cs="Arial"/>
          <w:sz w:val="24"/>
          <w:szCs w:val="24"/>
        </w:rPr>
        <w:t>The items listed in the income statement under this heading shall reflect interest income in respect of the corresponding asset items listed in the balance sheet, excluding unearned finance charges (that is finance charges due but not yet accrued), as follows:</w:t>
      </w:r>
    </w:p>
    <w:p w14:paraId="2EE1DFF5" w14:textId="44E910EB" w:rsidR="00D86D0A" w:rsidRPr="00D86D0A" w:rsidRDefault="00D86D0A" w:rsidP="00D86D0A">
      <w:pPr>
        <w:spacing w:after="0" w:line="240" w:lineRule="auto"/>
        <w:jc w:val="both"/>
        <w:rPr>
          <w:rFonts w:ascii="Arial" w:hAnsi="Arial" w:cs="Arial"/>
          <w:sz w:val="24"/>
          <w:szCs w:val="24"/>
        </w:rPr>
      </w:pPr>
    </w:p>
    <w:tbl>
      <w:tblPr>
        <w:tblW w:w="4570" w:type="pct"/>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552"/>
        <w:gridCol w:w="4689"/>
      </w:tblGrid>
      <w:tr w:rsidR="00D86D0A" w:rsidRPr="00D86D0A" w14:paraId="5E1D7D8F" w14:textId="77777777" w:rsidTr="00167B31">
        <w:tc>
          <w:tcPr>
            <w:tcW w:w="2155" w:type="pct"/>
            <w:shd w:val="clear" w:color="auto" w:fill="BFBFBF" w:themeFill="background1" w:themeFillShade="BF"/>
            <w:tcMar>
              <w:top w:w="0" w:type="dxa"/>
              <w:left w:w="108" w:type="dxa"/>
              <w:bottom w:w="0" w:type="dxa"/>
              <w:right w:w="108" w:type="dxa"/>
            </w:tcMar>
            <w:hideMark/>
          </w:tcPr>
          <w:p w14:paraId="2A598E4D"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b/>
                <w:bCs/>
                <w:sz w:val="24"/>
                <w:szCs w:val="24"/>
              </w:rPr>
              <w:t>Income statement line item</w:t>
            </w:r>
          </w:p>
        </w:tc>
        <w:tc>
          <w:tcPr>
            <w:tcW w:w="2845" w:type="pct"/>
            <w:shd w:val="clear" w:color="auto" w:fill="BFBFBF" w:themeFill="background1" w:themeFillShade="BF"/>
            <w:tcMar>
              <w:top w:w="0" w:type="dxa"/>
              <w:left w:w="108" w:type="dxa"/>
              <w:bottom w:w="0" w:type="dxa"/>
              <w:right w:w="108" w:type="dxa"/>
            </w:tcMar>
            <w:hideMark/>
          </w:tcPr>
          <w:p w14:paraId="48B4E0B6"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b/>
                <w:bCs/>
                <w:sz w:val="24"/>
                <w:szCs w:val="24"/>
              </w:rPr>
              <w:t>Corresponding balance-sheet asset line item</w:t>
            </w:r>
          </w:p>
        </w:tc>
      </w:tr>
      <w:tr w:rsidR="00D86D0A" w:rsidRPr="00D86D0A" w14:paraId="421D1CE6" w14:textId="77777777" w:rsidTr="00167B31">
        <w:tc>
          <w:tcPr>
            <w:tcW w:w="2155" w:type="pct"/>
            <w:shd w:val="clear" w:color="auto" w:fill="FFFFFF"/>
            <w:tcMar>
              <w:top w:w="0" w:type="dxa"/>
              <w:left w:w="108" w:type="dxa"/>
              <w:bottom w:w="0" w:type="dxa"/>
              <w:right w:w="108" w:type="dxa"/>
            </w:tcMar>
            <w:hideMark/>
          </w:tcPr>
          <w:p w14:paraId="2C66AFD1"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2</w:t>
            </w:r>
          </w:p>
        </w:tc>
        <w:tc>
          <w:tcPr>
            <w:tcW w:w="2845" w:type="pct"/>
            <w:shd w:val="clear" w:color="auto" w:fill="FFFFFF"/>
            <w:tcMar>
              <w:top w:w="0" w:type="dxa"/>
              <w:left w:w="108" w:type="dxa"/>
              <w:bottom w:w="0" w:type="dxa"/>
              <w:right w:w="108" w:type="dxa"/>
            </w:tcMar>
            <w:hideMark/>
          </w:tcPr>
          <w:p w14:paraId="7A73A8BC"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40 plus 41</w:t>
            </w:r>
          </w:p>
        </w:tc>
      </w:tr>
      <w:tr w:rsidR="00D86D0A" w:rsidRPr="00D86D0A" w14:paraId="285C9261" w14:textId="77777777" w:rsidTr="00167B31">
        <w:tc>
          <w:tcPr>
            <w:tcW w:w="2155" w:type="pct"/>
            <w:shd w:val="clear" w:color="auto" w:fill="FFFFFF"/>
            <w:tcMar>
              <w:top w:w="0" w:type="dxa"/>
              <w:left w:w="108" w:type="dxa"/>
              <w:bottom w:w="0" w:type="dxa"/>
              <w:right w:w="108" w:type="dxa"/>
            </w:tcMar>
            <w:hideMark/>
          </w:tcPr>
          <w:p w14:paraId="71EA6CE8"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3</w:t>
            </w:r>
          </w:p>
        </w:tc>
        <w:tc>
          <w:tcPr>
            <w:tcW w:w="2845" w:type="pct"/>
            <w:shd w:val="clear" w:color="auto" w:fill="FFFFFF"/>
            <w:tcMar>
              <w:top w:w="0" w:type="dxa"/>
              <w:left w:w="108" w:type="dxa"/>
              <w:bottom w:w="0" w:type="dxa"/>
              <w:right w:w="108" w:type="dxa"/>
            </w:tcMar>
            <w:hideMark/>
          </w:tcPr>
          <w:p w14:paraId="4960F9D1"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42</w:t>
            </w:r>
          </w:p>
        </w:tc>
      </w:tr>
      <w:tr w:rsidR="00D86D0A" w:rsidRPr="00D86D0A" w14:paraId="35E55880" w14:textId="77777777" w:rsidTr="00167B31">
        <w:tc>
          <w:tcPr>
            <w:tcW w:w="2155" w:type="pct"/>
            <w:shd w:val="clear" w:color="auto" w:fill="FFFFFF"/>
            <w:tcMar>
              <w:top w:w="0" w:type="dxa"/>
              <w:left w:w="108" w:type="dxa"/>
              <w:bottom w:w="0" w:type="dxa"/>
              <w:right w:w="108" w:type="dxa"/>
            </w:tcMar>
            <w:hideMark/>
          </w:tcPr>
          <w:p w14:paraId="026869B6"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4</w:t>
            </w:r>
          </w:p>
        </w:tc>
        <w:tc>
          <w:tcPr>
            <w:tcW w:w="2845" w:type="pct"/>
            <w:shd w:val="clear" w:color="auto" w:fill="FFFFFF"/>
            <w:tcMar>
              <w:top w:w="0" w:type="dxa"/>
              <w:left w:w="108" w:type="dxa"/>
              <w:bottom w:w="0" w:type="dxa"/>
              <w:right w:w="108" w:type="dxa"/>
            </w:tcMar>
            <w:hideMark/>
          </w:tcPr>
          <w:p w14:paraId="7AAC0FC1"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43</w:t>
            </w:r>
          </w:p>
        </w:tc>
      </w:tr>
      <w:tr w:rsidR="00D86D0A" w:rsidRPr="00D86D0A" w14:paraId="7279440D" w14:textId="77777777" w:rsidTr="00167B31">
        <w:tc>
          <w:tcPr>
            <w:tcW w:w="2155" w:type="pct"/>
            <w:shd w:val="clear" w:color="auto" w:fill="FFFFFF"/>
            <w:tcMar>
              <w:top w:w="0" w:type="dxa"/>
              <w:left w:w="108" w:type="dxa"/>
              <w:bottom w:w="0" w:type="dxa"/>
              <w:right w:w="108" w:type="dxa"/>
            </w:tcMar>
            <w:hideMark/>
          </w:tcPr>
          <w:p w14:paraId="3A80FAF2"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5</w:t>
            </w:r>
          </w:p>
        </w:tc>
        <w:tc>
          <w:tcPr>
            <w:tcW w:w="2845" w:type="pct"/>
            <w:shd w:val="clear" w:color="auto" w:fill="FFFFFF"/>
            <w:tcMar>
              <w:top w:w="0" w:type="dxa"/>
              <w:left w:w="108" w:type="dxa"/>
              <w:bottom w:w="0" w:type="dxa"/>
              <w:right w:w="108" w:type="dxa"/>
            </w:tcMar>
            <w:hideMark/>
          </w:tcPr>
          <w:p w14:paraId="0127E498"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44</w:t>
            </w:r>
          </w:p>
        </w:tc>
      </w:tr>
      <w:tr w:rsidR="00D86D0A" w:rsidRPr="00D86D0A" w14:paraId="3A23045E" w14:textId="77777777" w:rsidTr="00167B31">
        <w:tc>
          <w:tcPr>
            <w:tcW w:w="2155" w:type="pct"/>
            <w:shd w:val="clear" w:color="auto" w:fill="FFFFFF"/>
            <w:tcMar>
              <w:top w:w="0" w:type="dxa"/>
              <w:left w:w="108" w:type="dxa"/>
              <w:bottom w:w="0" w:type="dxa"/>
              <w:right w:w="108" w:type="dxa"/>
            </w:tcMar>
            <w:hideMark/>
          </w:tcPr>
          <w:p w14:paraId="3134A6B4"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6</w:t>
            </w:r>
          </w:p>
        </w:tc>
        <w:tc>
          <w:tcPr>
            <w:tcW w:w="2845" w:type="pct"/>
            <w:shd w:val="clear" w:color="auto" w:fill="FFFFFF"/>
            <w:tcMar>
              <w:top w:w="0" w:type="dxa"/>
              <w:left w:w="108" w:type="dxa"/>
              <w:bottom w:w="0" w:type="dxa"/>
              <w:right w:w="108" w:type="dxa"/>
            </w:tcMar>
            <w:hideMark/>
          </w:tcPr>
          <w:p w14:paraId="4BEC0FB2"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45</w:t>
            </w:r>
          </w:p>
        </w:tc>
      </w:tr>
      <w:tr w:rsidR="00D86D0A" w:rsidRPr="00D86D0A" w14:paraId="5B5550AB" w14:textId="77777777" w:rsidTr="00167B31">
        <w:tc>
          <w:tcPr>
            <w:tcW w:w="2155" w:type="pct"/>
            <w:shd w:val="clear" w:color="auto" w:fill="FFFFFF"/>
            <w:tcMar>
              <w:top w:w="0" w:type="dxa"/>
              <w:left w:w="108" w:type="dxa"/>
              <w:bottom w:w="0" w:type="dxa"/>
              <w:right w:w="108" w:type="dxa"/>
            </w:tcMar>
            <w:hideMark/>
          </w:tcPr>
          <w:p w14:paraId="6C6B68C8"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7</w:t>
            </w:r>
          </w:p>
        </w:tc>
        <w:tc>
          <w:tcPr>
            <w:tcW w:w="2845" w:type="pct"/>
            <w:shd w:val="clear" w:color="auto" w:fill="FFFFFF"/>
            <w:tcMar>
              <w:top w:w="0" w:type="dxa"/>
              <w:left w:w="108" w:type="dxa"/>
              <w:bottom w:w="0" w:type="dxa"/>
              <w:right w:w="108" w:type="dxa"/>
            </w:tcMar>
            <w:hideMark/>
          </w:tcPr>
          <w:p w14:paraId="6F9FAA4D"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46</w:t>
            </w:r>
          </w:p>
        </w:tc>
      </w:tr>
      <w:tr w:rsidR="00D86D0A" w:rsidRPr="00D86D0A" w14:paraId="5B9B16AF" w14:textId="77777777" w:rsidTr="00167B31">
        <w:tc>
          <w:tcPr>
            <w:tcW w:w="2155" w:type="pct"/>
            <w:shd w:val="clear" w:color="auto" w:fill="FFFFFF"/>
            <w:tcMar>
              <w:top w:w="0" w:type="dxa"/>
              <w:left w:w="108" w:type="dxa"/>
              <w:bottom w:w="0" w:type="dxa"/>
              <w:right w:w="108" w:type="dxa"/>
            </w:tcMar>
            <w:hideMark/>
          </w:tcPr>
          <w:p w14:paraId="7304A455"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8</w:t>
            </w:r>
          </w:p>
        </w:tc>
        <w:tc>
          <w:tcPr>
            <w:tcW w:w="2845" w:type="pct"/>
            <w:shd w:val="clear" w:color="auto" w:fill="FFFFFF"/>
            <w:tcMar>
              <w:top w:w="0" w:type="dxa"/>
              <w:left w:w="108" w:type="dxa"/>
              <w:bottom w:w="0" w:type="dxa"/>
              <w:right w:w="108" w:type="dxa"/>
            </w:tcMar>
            <w:hideMark/>
          </w:tcPr>
          <w:p w14:paraId="14214685"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47</w:t>
            </w:r>
          </w:p>
        </w:tc>
      </w:tr>
      <w:tr w:rsidR="00D86D0A" w:rsidRPr="00D86D0A" w14:paraId="7C48F537" w14:textId="77777777" w:rsidTr="00167B31">
        <w:tc>
          <w:tcPr>
            <w:tcW w:w="2155" w:type="pct"/>
            <w:shd w:val="clear" w:color="auto" w:fill="FFFFFF"/>
            <w:tcMar>
              <w:top w:w="0" w:type="dxa"/>
              <w:left w:w="108" w:type="dxa"/>
              <w:bottom w:w="0" w:type="dxa"/>
              <w:right w:w="108" w:type="dxa"/>
            </w:tcMar>
            <w:hideMark/>
          </w:tcPr>
          <w:p w14:paraId="67C22485"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9</w:t>
            </w:r>
          </w:p>
        </w:tc>
        <w:tc>
          <w:tcPr>
            <w:tcW w:w="2845" w:type="pct"/>
            <w:shd w:val="clear" w:color="auto" w:fill="FFFFFF"/>
            <w:tcMar>
              <w:top w:w="0" w:type="dxa"/>
              <w:left w:w="108" w:type="dxa"/>
              <w:bottom w:w="0" w:type="dxa"/>
              <w:right w:w="108" w:type="dxa"/>
            </w:tcMar>
            <w:hideMark/>
          </w:tcPr>
          <w:p w14:paraId="1DFFE034"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48</w:t>
            </w:r>
          </w:p>
        </w:tc>
      </w:tr>
      <w:tr w:rsidR="00D86D0A" w:rsidRPr="00D86D0A" w14:paraId="4EBB7126" w14:textId="77777777" w:rsidTr="00167B31">
        <w:tc>
          <w:tcPr>
            <w:tcW w:w="2155" w:type="pct"/>
            <w:shd w:val="clear" w:color="auto" w:fill="FFFFFF"/>
            <w:tcMar>
              <w:top w:w="0" w:type="dxa"/>
              <w:left w:w="108" w:type="dxa"/>
              <w:bottom w:w="0" w:type="dxa"/>
              <w:right w:w="108" w:type="dxa"/>
            </w:tcMar>
            <w:hideMark/>
          </w:tcPr>
          <w:p w14:paraId="15F44661"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10</w:t>
            </w:r>
          </w:p>
        </w:tc>
        <w:tc>
          <w:tcPr>
            <w:tcW w:w="2845" w:type="pct"/>
            <w:shd w:val="clear" w:color="auto" w:fill="FFFFFF"/>
            <w:tcMar>
              <w:top w:w="0" w:type="dxa"/>
              <w:left w:w="108" w:type="dxa"/>
              <w:bottom w:w="0" w:type="dxa"/>
              <w:right w:w="108" w:type="dxa"/>
            </w:tcMar>
            <w:hideMark/>
          </w:tcPr>
          <w:p w14:paraId="573CB368"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49</w:t>
            </w:r>
          </w:p>
        </w:tc>
      </w:tr>
    </w:tbl>
    <w:p w14:paraId="1CD9FE5F" w14:textId="77777777" w:rsidR="002D4C86" w:rsidRDefault="002D4C86" w:rsidP="00D86D0A">
      <w:pPr>
        <w:spacing w:after="0" w:line="240" w:lineRule="auto"/>
        <w:jc w:val="both"/>
        <w:rPr>
          <w:rFonts w:ascii="Arial" w:hAnsi="Arial" w:cs="Arial"/>
          <w:sz w:val="24"/>
          <w:szCs w:val="24"/>
        </w:rPr>
      </w:pPr>
    </w:p>
    <w:p w14:paraId="1CCCE5E8" w14:textId="0062A3B5" w:rsidR="00D86D0A" w:rsidRPr="00E51BCF" w:rsidRDefault="00D86D0A" w:rsidP="00D86D0A">
      <w:pPr>
        <w:spacing w:after="0" w:line="240" w:lineRule="auto"/>
        <w:jc w:val="both"/>
        <w:rPr>
          <w:rFonts w:ascii="Arial" w:hAnsi="Arial" w:cs="Arial"/>
          <w:b/>
          <w:bCs/>
          <w:sz w:val="24"/>
          <w:szCs w:val="24"/>
        </w:rPr>
      </w:pPr>
      <w:r w:rsidRPr="00E51BCF">
        <w:rPr>
          <w:rFonts w:ascii="Arial" w:hAnsi="Arial" w:cs="Arial"/>
          <w:b/>
          <w:bCs/>
          <w:sz w:val="24"/>
          <w:szCs w:val="24"/>
        </w:rPr>
        <w:t>11.</w:t>
      </w:r>
      <w:r w:rsidR="002D4C86" w:rsidRPr="00E51BCF">
        <w:rPr>
          <w:rFonts w:ascii="Arial" w:hAnsi="Arial" w:cs="Arial"/>
          <w:b/>
          <w:bCs/>
          <w:sz w:val="24"/>
          <w:szCs w:val="24"/>
        </w:rPr>
        <w:tab/>
      </w:r>
      <w:r w:rsidRPr="00E51BCF">
        <w:rPr>
          <w:rFonts w:ascii="Arial" w:hAnsi="Arial" w:cs="Arial"/>
          <w:b/>
          <w:bCs/>
          <w:sz w:val="24"/>
          <w:szCs w:val="24"/>
        </w:rPr>
        <w:t>Interest expense in respect of deposits and loans received</w:t>
      </w:r>
    </w:p>
    <w:p w14:paraId="7B9CB591" w14:textId="632F10BF" w:rsidR="00D86D0A" w:rsidRPr="00D86D0A" w:rsidRDefault="00D86D0A" w:rsidP="00D86D0A">
      <w:pPr>
        <w:spacing w:after="0" w:line="240" w:lineRule="auto"/>
        <w:jc w:val="both"/>
        <w:rPr>
          <w:rFonts w:ascii="Arial" w:hAnsi="Arial" w:cs="Arial"/>
          <w:sz w:val="24"/>
          <w:szCs w:val="24"/>
        </w:rPr>
      </w:pPr>
    </w:p>
    <w:p w14:paraId="45EE7609" w14:textId="77777777" w:rsidR="00D86D0A" w:rsidRPr="00D86D0A" w:rsidRDefault="00D86D0A" w:rsidP="002D4C86">
      <w:pPr>
        <w:spacing w:after="0" w:line="240" w:lineRule="auto"/>
        <w:ind w:left="720"/>
        <w:jc w:val="both"/>
        <w:rPr>
          <w:rFonts w:ascii="Arial" w:hAnsi="Arial" w:cs="Arial"/>
          <w:sz w:val="24"/>
          <w:szCs w:val="24"/>
        </w:rPr>
      </w:pPr>
      <w:r w:rsidRPr="00D86D0A">
        <w:rPr>
          <w:rFonts w:ascii="Arial" w:hAnsi="Arial" w:cs="Arial"/>
          <w:sz w:val="24"/>
          <w:szCs w:val="24"/>
        </w:rPr>
        <w:t>The items listed in the income statement under this heading shall reflect interest expense in respect of the corresponding liability items listed in the balance sheet, excluding deferred finance charges (that is finance charges due but not yet accrued), as follows:</w:t>
      </w:r>
    </w:p>
    <w:p w14:paraId="68330292"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 </w:t>
      </w:r>
    </w:p>
    <w:tbl>
      <w:tblPr>
        <w:tblW w:w="4570" w:type="pct"/>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552"/>
        <w:gridCol w:w="4689"/>
      </w:tblGrid>
      <w:tr w:rsidR="00D86D0A" w:rsidRPr="00D86D0A" w14:paraId="2EC9A9D0" w14:textId="77777777" w:rsidTr="00167B31">
        <w:tc>
          <w:tcPr>
            <w:tcW w:w="2155" w:type="pct"/>
            <w:shd w:val="clear" w:color="auto" w:fill="BFBFBF" w:themeFill="background1" w:themeFillShade="BF"/>
            <w:tcMar>
              <w:top w:w="0" w:type="dxa"/>
              <w:left w:w="108" w:type="dxa"/>
              <w:bottom w:w="0" w:type="dxa"/>
              <w:right w:w="108" w:type="dxa"/>
            </w:tcMar>
            <w:hideMark/>
          </w:tcPr>
          <w:p w14:paraId="07F689F0"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b/>
                <w:bCs/>
                <w:sz w:val="24"/>
                <w:szCs w:val="24"/>
              </w:rPr>
              <w:t>Income statement line item</w:t>
            </w:r>
          </w:p>
        </w:tc>
        <w:tc>
          <w:tcPr>
            <w:tcW w:w="2845" w:type="pct"/>
            <w:shd w:val="clear" w:color="auto" w:fill="BFBFBF" w:themeFill="background1" w:themeFillShade="BF"/>
            <w:tcMar>
              <w:top w:w="0" w:type="dxa"/>
              <w:left w:w="108" w:type="dxa"/>
              <w:bottom w:w="0" w:type="dxa"/>
              <w:right w:w="108" w:type="dxa"/>
            </w:tcMar>
            <w:hideMark/>
          </w:tcPr>
          <w:p w14:paraId="18166913"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b/>
                <w:bCs/>
                <w:sz w:val="24"/>
                <w:szCs w:val="24"/>
              </w:rPr>
              <w:t>Corresponding balance-sheet liability line item</w:t>
            </w:r>
          </w:p>
        </w:tc>
      </w:tr>
      <w:tr w:rsidR="00D86D0A" w:rsidRPr="00D86D0A" w14:paraId="4488D604" w14:textId="77777777" w:rsidTr="00167B31">
        <w:tc>
          <w:tcPr>
            <w:tcW w:w="2155" w:type="pct"/>
            <w:shd w:val="clear" w:color="auto" w:fill="FFFFFF"/>
            <w:tcMar>
              <w:top w:w="0" w:type="dxa"/>
              <w:left w:w="108" w:type="dxa"/>
              <w:bottom w:w="0" w:type="dxa"/>
              <w:right w:w="108" w:type="dxa"/>
            </w:tcMar>
            <w:hideMark/>
          </w:tcPr>
          <w:p w14:paraId="098454FA"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12</w:t>
            </w:r>
          </w:p>
        </w:tc>
        <w:tc>
          <w:tcPr>
            <w:tcW w:w="2845" w:type="pct"/>
            <w:shd w:val="clear" w:color="auto" w:fill="FFFFFF"/>
            <w:tcMar>
              <w:top w:w="0" w:type="dxa"/>
              <w:left w:w="108" w:type="dxa"/>
              <w:bottom w:w="0" w:type="dxa"/>
              <w:right w:w="108" w:type="dxa"/>
            </w:tcMar>
            <w:hideMark/>
          </w:tcPr>
          <w:p w14:paraId="34BCA814"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2</w:t>
            </w:r>
          </w:p>
        </w:tc>
      </w:tr>
      <w:tr w:rsidR="00D86D0A" w:rsidRPr="00D86D0A" w14:paraId="01D95B1F" w14:textId="77777777" w:rsidTr="00167B31">
        <w:tc>
          <w:tcPr>
            <w:tcW w:w="2155" w:type="pct"/>
            <w:shd w:val="clear" w:color="auto" w:fill="FFFFFF"/>
            <w:tcMar>
              <w:top w:w="0" w:type="dxa"/>
              <w:left w:w="108" w:type="dxa"/>
              <w:bottom w:w="0" w:type="dxa"/>
              <w:right w:w="108" w:type="dxa"/>
            </w:tcMar>
            <w:hideMark/>
          </w:tcPr>
          <w:p w14:paraId="50872D9F"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13</w:t>
            </w:r>
          </w:p>
        </w:tc>
        <w:tc>
          <w:tcPr>
            <w:tcW w:w="2845" w:type="pct"/>
            <w:shd w:val="clear" w:color="auto" w:fill="FFFFFF"/>
            <w:tcMar>
              <w:top w:w="0" w:type="dxa"/>
              <w:left w:w="108" w:type="dxa"/>
              <w:bottom w:w="0" w:type="dxa"/>
              <w:right w:w="108" w:type="dxa"/>
            </w:tcMar>
            <w:hideMark/>
          </w:tcPr>
          <w:p w14:paraId="6CEE0241"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3</w:t>
            </w:r>
          </w:p>
        </w:tc>
      </w:tr>
      <w:tr w:rsidR="00D86D0A" w:rsidRPr="00D86D0A" w14:paraId="631EF404" w14:textId="77777777" w:rsidTr="00167B31">
        <w:tc>
          <w:tcPr>
            <w:tcW w:w="2155" w:type="pct"/>
            <w:shd w:val="clear" w:color="auto" w:fill="FFFFFF"/>
            <w:tcMar>
              <w:top w:w="0" w:type="dxa"/>
              <w:left w:w="108" w:type="dxa"/>
              <w:bottom w:w="0" w:type="dxa"/>
              <w:right w:w="108" w:type="dxa"/>
            </w:tcMar>
            <w:hideMark/>
          </w:tcPr>
          <w:p w14:paraId="0A897022"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14</w:t>
            </w:r>
          </w:p>
        </w:tc>
        <w:tc>
          <w:tcPr>
            <w:tcW w:w="2845" w:type="pct"/>
            <w:shd w:val="clear" w:color="auto" w:fill="FFFFFF"/>
            <w:tcMar>
              <w:top w:w="0" w:type="dxa"/>
              <w:left w:w="108" w:type="dxa"/>
              <w:bottom w:w="0" w:type="dxa"/>
              <w:right w:w="108" w:type="dxa"/>
            </w:tcMar>
            <w:hideMark/>
          </w:tcPr>
          <w:p w14:paraId="559F80D9"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5</w:t>
            </w:r>
          </w:p>
        </w:tc>
      </w:tr>
      <w:tr w:rsidR="00D86D0A" w:rsidRPr="00D86D0A" w14:paraId="2DB34D04" w14:textId="77777777" w:rsidTr="00167B31">
        <w:tc>
          <w:tcPr>
            <w:tcW w:w="2155" w:type="pct"/>
            <w:shd w:val="clear" w:color="auto" w:fill="FFFFFF"/>
            <w:tcMar>
              <w:top w:w="0" w:type="dxa"/>
              <w:left w:w="108" w:type="dxa"/>
              <w:bottom w:w="0" w:type="dxa"/>
              <w:right w:w="108" w:type="dxa"/>
            </w:tcMar>
            <w:hideMark/>
          </w:tcPr>
          <w:p w14:paraId="35841D4A"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15</w:t>
            </w:r>
          </w:p>
        </w:tc>
        <w:tc>
          <w:tcPr>
            <w:tcW w:w="2845" w:type="pct"/>
            <w:shd w:val="clear" w:color="auto" w:fill="FFFFFF"/>
            <w:tcMar>
              <w:top w:w="0" w:type="dxa"/>
              <w:left w:w="108" w:type="dxa"/>
              <w:bottom w:w="0" w:type="dxa"/>
              <w:right w:w="108" w:type="dxa"/>
            </w:tcMar>
            <w:hideMark/>
          </w:tcPr>
          <w:p w14:paraId="28645F93"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6</w:t>
            </w:r>
          </w:p>
        </w:tc>
      </w:tr>
      <w:tr w:rsidR="00D86D0A" w:rsidRPr="00D86D0A" w14:paraId="69AF81F4" w14:textId="77777777" w:rsidTr="00167B31">
        <w:tc>
          <w:tcPr>
            <w:tcW w:w="2155" w:type="pct"/>
            <w:shd w:val="clear" w:color="auto" w:fill="FFFFFF"/>
            <w:tcMar>
              <w:top w:w="0" w:type="dxa"/>
              <w:left w:w="108" w:type="dxa"/>
              <w:bottom w:w="0" w:type="dxa"/>
              <w:right w:w="108" w:type="dxa"/>
            </w:tcMar>
            <w:hideMark/>
          </w:tcPr>
          <w:p w14:paraId="529E5849"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16</w:t>
            </w:r>
          </w:p>
        </w:tc>
        <w:tc>
          <w:tcPr>
            <w:tcW w:w="2845" w:type="pct"/>
            <w:shd w:val="clear" w:color="auto" w:fill="FFFFFF"/>
            <w:tcMar>
              <w:top w:w="0" w:type="dxa"/>
              <w:left w:w="108" w:type="dxa"/>
              <w:bottom w:w="0" w:type="dxa"/>
              <w:right w:w="108" w:type="dxa"/>
            </w:tcMar>
            <w:hideMark/>
          </w:tcPr>
          <w:p w14:paraId="1FADCD73"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7</w:t>
            </w:r>
          </w:p>
        </w:tc>
      </w:tr>
      <w:tr w:rsidR="00D86D0A" w:rsidRPr="00D86D0A" w14:paraId="54DF826B" w14:textId="77777777" w:rsidTr="00167B31">
        <w:tc>
          <w:tcPr>
            <w:tcW w:w="2155" w:type="pct"/>
            <w:shd w:val="clear" w:color="auto" w:fill="FFFFFF"/>
            <w:tcMar>
              <w:top w:w="0" w:type="dxa"/>
              <w:left w:w="108" w:type="dxa"/>
              <w:bottom w:w="0" w:type="dxa"/>
              <w:right w:w="108" w:type="dxa"/>
            </w:tcMar>
            <w:hideMark/>
          </w:tcPr>
          <w:p w14:paraId="0D194AEE"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17</w:t>
            </w:r>
          </w:p>
        </w:tc>
        <w:tc>
          <w:tcPr>
            <w:tcW w:w="2845" w:type="pct"/>
            <w:shd w:val="clear" w:color="auto" w:fill="FFFFFF"/>
            <w:tcMar>
              <w:top w:w="0" w:type="dxa"/>
              <w:left w:w="108" w:type="dxa"/>
              <w:bottom w:w="0" w:type="dxa"/>
              <w:right w:w="108" w:type="dxa"/>
            </w:tcMar>
            <w:hideMark/>
          </w:tcPr>
          <w:p w14:paraId="1E5C4569"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8</w:t>
            </w:r>
          </w:p>
        </w:tc>
      </w:tr>
      <w:tr w:rsidR="00D86D0A" w:rsidRPr="00D86D0A" w14:paraId="613B7B92" w14:textId="77777777" w:rsidTr="00167B31">
        <w:tc>
          <w:tcPr>
            <w:tcW w:w="2155" w:type="pct"/>
            <w:shd w:val="clear" w:color="auto" w:fill="FFFFFF"/>
            <w:tcMar>
              <w:top w:w="0" w:type="dxa"/>
              <w:left w:w="108" w:type="dxa"/>
              <w:bottom w:w="0" w:type="dxa"/>
              <w:right w:w="108" w:type="dxa"/>
            </w:tcMar>
            <w:hideMark/>
          </w:tcPr>
          <w:p w14:paraId="1D9B2255"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18</w:t>
            </w:r>
          </w:p>
        </w:tc>
        <w:tc>
          <w:tcPr>
            <w:tcW w:w="2845" w:type="pct"/>
            <w:shd w:val="clear" w:color="auto" w:fill="FFFFFF"/>
            <w:tcMar>
              <w:top w:w="0" w:type="dxa"/>
              <w:left w:w="108" w:type="dxa"/>
              <w:bottom w:w="0" w:type="dxa"/>
              <w:right w:w="108" w:type="dxa"/>
            </w:tcMar>
            <w:hideMark/>
          </w:tcPr>
          <w:p w14:paraId="6380DA16"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9</w:t>
            </w:r>
          </w:p>
        </w:tc>
      </w:tr>
      <w:tr w:rsidR="00D86D0A" w:rsidRPr="00D86D0A" w14:paraId="1EB4CB7B" w14:textId="77777777" w:rsidTr="00167B31">
        <w:tc>
          <w:tcPr>
            <w:tcW w:w="2155" w:type="pct"/>
            <w:shd w:val="clear" w:color="auto" w:fill="FFFFFF"/>
            <w:tcMar>
              <w:top w:w="0" w:type="dxa"/>
              <w:left w:w="108" w:type="dxa"/>
              <w:bottom w:w="0" w:type="dxa"/>
              <w:right w:w="108" w:type="dxa"/>
            </w:tcMar>
            <w:hideMark/>
          </w:tcPr>
          <w:p w14:paraId="42007A5D"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19</w:t>
            </w:r>
          </w:p>
        </w:tc>
        <w:tc>
          <w:tcPr>
            <w:tcW w:w="2845" w:type="pct"/>
            <w:shd w:val="clear" w:color="auto" w:fill="FFFFFF"/>
            <w:tcMar>
              <w:top w:w="0" w:type="dxa"/>
              <w:left w:w="108" w:type="dxa"/>
              <w:bottom w:w="0" w:type="dxa"/>
              <w:right w:w="108" w:type="dxa"/>
            </w:tcMar>
            <w:hideMark/>
          </w:tcPr>
          <w:p w14:paraId="276311F6"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12</w:t>
            </w:r>
          </w:p>
        </w:tc>
      </w:tr>
      <w:tr w:rsidR="00D86D0A" w:rsidRPr="00D86D0A" w14:paraId="154EB5BA" w14:textId="77777777" w:rsidTr="00167B31">
        <w:tc>
          <w:tcPr>
            <w:tcW w:w="2155" w:type="pct"/>
            <w:shd w:val="clear" w:color="auto" w:fill="FFFFFF"/>
            <w:tcMar>
              <w:top w:w="0" w:type="dxa"/>
              <w:left w:w="108" w:type="dxa"/>
              <w:bottom w:w="0" w:type="dxa"/>
              <w:right w:w="108" w:type="dxa"/>
            </w:tcMar>
            <w:hideMark/>
          </w:tcPr>
          <w:p w14:paraId="18EF019B"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20</w:t>
            </w:r>
          </w:p>
        </w:tc>
        <w:tc>
          <w:tcPr>
            <w:tcW w:w="2845" w:type="pct"/>
            <w:shd w:val="clear" w:color="auto" w:fill="FFFFFF"/>
            <w:tcMar>
              <w:top w:w="0" w:type="dxa"/>
              <w:left w:w="108" w:type="dxa"/>
              <w:bottom w:w="0" w:type="dxa"/>
              <w:right w:w="108" w:type="dxa"/>
            </w:tcMar>
            <w:hideMark/>
          </w:tcPr>
          <w:p w14:paraId="241D5B92" w14:textId="77777777" w:rsidR="00D86D0A" w:rsidRPr="00D86D0A" w:rsidRDefault="00D86D0A" w:rsidP="00D86D0A">
            <w:pPr>
              <w:spacing w:after="0" w:line="240" w:lineRule="auto"/>
              <w:jc w:val="both"/>
              <w:rPr>
                <w:rFonts w:ascii="Arial" w:hAnsi="Arial" w:cs="Arial"/>
                <w:sz w:val="24"/>
                <w:szCs w:val="24"/>
              </w:rPr>
            </w:pPr>
            <w:r w:rsidRPr="00D86D0A">
              <w:rPr>
                <w:rFonts w:ascii="Arial" w:hAnsi="Arial" w:cs="Arial"/>
                <w:sz w:val="24"/>
                <w:szCs w:val="24"/>
              </w:rPr>
              <w:t>15</w:t>
            </w:r>
          </w:p>
        </w:tc>
      </w:tr>
    </w:tbl>
    <w:p w14:paraId="079E5134" w14:textId="6DB2C512" w:rsidR="00D86D0A" w:rsidRPr="00D86D0A" w:rsidRDefault="00D86D0A" w:rsidP="00D86D0A">
      <w:pPr>
        <w:spacing w:after="0" w:line="240" w:lineRule="auto"/>
        <w:jc w:val="both"/>
        <w:rPr>
          <w:rFonts w:ascii="Arial" w:hAnsi="Arial" w:cs="Arial"/>
          <w:sz w:val="24"/>
          <w:szCs w:val="24"/>
        </w:rPr>
      </w:pPr>
    </w:p>
    <w:p w14:paraId="5F9DE6F2" w14:textId="4101B945" w:rsidR="00D86D0A" w:rsidRPr="00E51BCF" w:rsidRDefault="00D86D0A" w:rsidP="00D86D0A">
      <w:pPr>
        <w:spacing w:after="0" w:line="240" w:lineRule="auto"/>
        <w:jc w:val="both"/>
        <w:rPr>
          <w:rFonts w:ascii="Arial" w:hAnsi="Arial" w:cs="Arial"/>
          <w:b/>
          <w:bCs/>
          <w:sz w:val="24"/>
          <w:szCs w:val="24"/>
        </w:rPr>
      </w:pPr>
      <w:r w:rsidRPr="00E51BCF">
        <w:rPr>
          <w:rFonts w:ascii="Arial" w:hAnsi="Arial" w:cs="Arial"/>
          <w:b/>
          <w:bCs/>
          <w:sz w:val="24"/>
          <w:szCs w:val="24"/>
        </w:rPr>
        <w:t>37.</w:t>
      </w:r>
      <w:r w:rsidR="002D4C86" w:rsidRPr="00E51BCF">
        <w:rPr>
          <w:rFonts w:ascii="Arial" w:hAnsi="Arial" w:cs="Arial"/>
          <w:b/>
          <w:bCs/>
          <w:sz w:val="24"/>
          <w:szCs w:val="24"/>
        </w:rPr>
        <w:tab/>
      </w:r>
      <w:r w:rsidRPr="00E51BCF">
        <w:rPr>
          <w:rFonts w:ascii="Arial" w:hAnsi="Arial" w:cs="Arial"/>
          <w:b/>
          <w:bCs/>
          <w:sz w:val="24"/>
          <w:szCs w:val="24"/>
        </w:rPr>
        <w:t>Transaction-based banking-related fee income</w:t>
      </w:r>
    </w:p>
    <w:p w14:paraId="47B1AE73" w14:textId="7A2D75F0" w:rsidR="00D86D0A" w:rsidRPr="00D86D0A" w:rsidRDefault="00D86D0A" w:rsidP="00D86D0A">
      <w:pPr>
        <w:spacing w:after="0" w:line="240" w:lineRule="auto"/>
        <w:jc w:val="both"/>
        <w:rPr>
          <w:rFonts w:ascii="Arial" w:hAnsi="Arial" w:cs="Arial"/>
          <w:sz w:val="24"/>
          <w:szCs w:val="24"/>
        </w:rPr>
      </w:pPr>
    </w:p>
    <w:p w14:paraId="067E5822" w14:textId="77777777" w:rsidR="00D86D0A" w:rsidRPr="00D86D0A" w:rsidRDefault="00D86D0A" w:rsidP="002D4C86">
      <w:pPr>
        <w:spacing w:after="0" w:line="240" w:lineRule="auto"/>
        <w:ind w:left="720"/>
        <w:jc w:val="both"/>
        <w:rPr>
          <w:rFonts w:ascii="Arial" w:hAnsi="Arial" w:cs="Arial"/>
          <w:sz w:val="24"/>
          <w:szCs w:val="24"/>
        </w:rPr>
      </w:pPr>
      <w:r w:rsidRPr="00D86D0A">
        <w:rPr>
          <w:rFonts w:ascii="Arial" w:hAnsi="Arial" w:cs="Arial"/>
          <w:sz w:val="24"/>
          <w:szCs w:val="24"/>
        </w:rPr>
        <w:lastRenderedPageBreak/>
        <w:t xml:space="preserve">This item shall include all non-interest income earned as a direct result of any service rendered by the reporting mutual bank at a fee that is levied </w:t>
      </w:r>
      <w:proofErr w:type="gramStart"/>
      <w:r w:rsidRPr="00D86D0A">
        <w:rPr>
          <w:rFonts w:ascii="Arial" w:hAnsi="Arial" w:cs="Arial"/>
          <w:sz w:val="24"/>
          <w:szCs w:val="24"/>
        </w:rPr>
        <w:t>on the basis of</w:t>
      </w:r>
      <w:proofErr w:type="gramEnd"/>
      <w:r w:rsidRPr="00D86D0A">
        <w:rPr>
          <w:rFonts w:ascii="Arial" w:hAnsi="Arial" w:cs="Arial"/>
          <w:sz w:val="24"/>
          <w:szCs w:val="24"/>
        </w:rPr>
        <w:t xml:space="preserve"> a standardized tariff. Typically, this includes fees levied in respect of services relating to money transmission. (This item shall include fees levied in respect of off-balance-sheet </w:t>
      </w:r>
      <w:proofErr w:type="gramStart"/>
      <w:r w:rsidRPr="00D86D0A">
        <w:rPr>
          <w:rFonts w:ascii="Arial" w:hAnsi="Arial" w:cs="Arial"/>
          <w:sz w:val="24"/>
          <w:szCs w:val="24"/>
        </w:rPr>
        <w:t>transactions, but</w:t>
      </w:r>
      <w:proofErr w:type="gramEnd"/>
      <w:r w:rsidRPr="00D86D0A">
        <w:rPr>
          <w:rFonts w:ascii="Arial" w:hAnsi="Arial" w:cs="Arial"/>
          <w:sz w:val="24"/>
          <w:szCs w:val="24"/>
        </w:rPr>
        <w:t xml:space="preserve"> excludes interest income.)</w:t>
      </w:r>
    </w:p>
    <w:p w14:paraId="3807C879" w14:textId="3D126B47" w:rsidR="00D86D0A" w:rsidRPr="00D86D0A" w:rsidRDefault="00D86D0A" w:rsidP="00D86D0A">
      <w:pPr>
        <w:spacing w:after="0" w:line="240" w:lineRule="auto"/>
        <w:jc w:val="both"/>
        <w:rPr>
          <w:rFonts w:ascii="Arial" w:hAnsi="Arial" w:cs="Arial"/>
          <w:sz w:val="24"/>
          <w:szCs w:val="24"/>
        </w:rPr>
      </w:pPr>
    </w:p>
    <w:p w14:paraId="1DA2A5AC" w14:textId="31EF1CF5" w:rsidR="00D86D0A" w:rsidRPr="00E51BCF" w:rsidRDefault="00D86D0A" w:rsidP="00D86D0A">
      <w:pPr>
        <w:spacing w:after="0" w:line="240" w:lineRule="auto"/>
        <w:jc w:val="both"/>
        <w:rPr>
          <w:rFonts w:ascii="Arial" w:hAnsi="Arial" w:cs="Arial"/>
          <w:b/>
          <w:bCs/>
          <w:sz w:val="24"/>
          <w:szCs w:val="24"/>
        </w:rPr>
      </w:pPr>
      <w:r w:rsidRPr="00E51BCF">
        <w:rPr>
          <w:rFonts w:ascii="Arial" w:hAnsi="Arial" w:cs="Arial"/>
          <w:b/>
          <w:bCs/>
          <w:sz w:val="24"/>
          <w:szCs w:val="24"/>
        </w:rPr>
        <w:t>38.</w:t>
      </w:r>
      <w:r w:rsidR="002D4C86" w:rsidRPr="00E51BCF">
        <w:rPr>
          <w:rFonts w:ascii="Arial" w:hAnsi="Arial" w:cs="Arial"/>
          <w:b/>
          <w:bCs/>
          <w:sz w:val="24"/>
          <w:szCs w:val="24"/>
        </w:rPr>
        <w:tab/>
      </w:r>
      <w:r w:rsidRPr="00E51BCF">
        <w:rPr>
          <w:rFonts w:ascii="Arial" w:hAnsi="Arial" w:cs="Arial"/>
          <w:b/>
          <w:bCs/>
          <w:sz w:val="24"/>
          <w:szCs w:val="24"/>
        </w:rPr>
        <w:t>Knowledge-based fee income</w:t>
      </w:r>
    </w:p>
    <w:p w14:paraId="03BA778D" w14:textId="3D3900E2" w:rsidR="00D86D0A" w:rsidRPr="00D86D0A" w:rsidRDefault="00D86D0A" w:rsidP="00D86D0A">
      <w:pPr>
        <w:spacing w:after="0" w:line="240" w:lineRule="auto"/>
        <w:jc w:val="both"/>
        <w:rPr>
          <w:rFonts w:ascii="Arial" w:hAnsi="Arial" w:cs="Arial"/>
          <w:sz w:val="24"/>
          <w:szCs w:val="24"/>
        </w:rPr>
      </w:pPr>
    </w:p>
    <w:p w14:paraId="23891B50" w14:textId="77777777" w:rsidR="00D86D0A" w:rsidRPr="00D86D0A" w:rsidRDefault="00D86D0A" w:rsidP="002D4C86">
      <w:pPr>
        <w:spacing w:after="0" w:line="240" w:lineRule="auto"/>
        <w:ind w:left="720"/>
        <w:jc w:val="both"/>
        <w:rPr>
          <w:rFonts w:ascii="Arial" w:hAnsi="Arial" w:cs="Arial"/>
          <w:sz w:val="24"/>
          <w:szCs w:val="24"/>
        </w:rPr>
      </w:pPr>
      <w:r w:rsidRPr="00D86D0A">
        <w:rPr>
          <w:rFonts w:ascii="Arial" w:hAnsi="Arial" w:cs="Arial"/>
          <w:sz w:val="24"/>
          <w:szCs w:val="24"/>
        </w:rPr>
        <w:t xml:space="preserve">This item shall include all income earned </w:t>
      </w:r>
      <w:proofErr w:type="gramStart"/>
      <w:r w:rsidRPr="00D86D0A">
        <w:rPr>
          <w:rFonts w:ascii="Arial" w:hAnsi="Arial" w:cs="Arial"/>
          <w:sz w:val="24"/>
          <w:szCs w:val="24"/>
        </w:rPr>
        <w:t>as a result of</w:t>
      </w:r>
      <w:proofErr w:type="gramEnd"/>
      <w:r w:rsidRPr="00D86D0A">
        <w:rPr>
          <w:rFonts w:ascii="Arial" w:hAnsi="Arial" w:cs="Arial"/>
          <w:sz w:val="24"/>
          <w:szCs w:val="24"/>
        </w:rPr>
        <w:t xml:space="preserve"> any service rendered by the reporting mutual bank at a fee that is negotiated in the case with a client. (For example, the bulk of the income from corporate finance activities of a mutual bank will fall under this item.)</w:t>
      </w:r>
    </w:p>
    <w:p w14:paraId="5DE9A3A7" w14:textId="3B31301F" w:rsidR="00D86D0A" w:rsidRPr="00D86D0A" w:rsidRDefault="00D86D0A" w:rsidP="00D86D0A">
      <w:pPr>
        <w:spacing w:after="0" w:line="240" w:lineRule="auto"/>
        <w:jc w:val="both"/>
        <w:rPr>
          <w:rFonts w:ascii="Arial" w:hAnsi="Arial" w:cs="Arial"/>
          <w:sz w:val="24"/>
          <w:szCs w:val="24"/>
        </w:rPr>
      </w:pPr>
    </w:p>
    <w:p w14:paraId="67382478" w14:textId="0D77570C" w:rsidR="00D86D0A" w:rsidRPr="00E51BCF" w:rsidRDefault="00D86D0A" w:rsidP="00D86D0A">
      <w:pPr>
        <w:spacing w:after="0" w:line="240" w:lineRule="auto"/>
        <w:jc w:val="both"/>
        <w:rPr>
          <w:rFonts w:ascii="Arial" w:hAnsi="Arial" w:cs="Arial"/>
          <w:b/>
          <w:bCs/>
          <w:sz w:val="24"/>
          <w:szCs w:val="24"/>
        </w:rPr>
      </w:pPr>
      <w:r w:rsidRPr="00E51BCF">
        <w:rPr>
          <w:rFonts w:ascii="Arial" w:hAnsi="Arial" w:cs="Arial"/>
          <w:b/>
          <w:bCs/>
          <w:sz w:val="24"/>
          <w:szCs w:val="24"/>
        </w:rPr>
        <w:t>40.</w:t>
      </w:r>
      <w:r w:rsidR="008122B2" w:rsidRPr="00E51BCF">
        <w:rPr>
          <w:rFonts w:ascii="Arial" w:hAnsi="Arial" w:cs="Arial"/>
          <w:b/>
          <w:bCs/>
          <w:sz w:val="24"/>
          <w:szCs w:val="24"/>
        </w:rPr>
        <w:tab/>
      </w:r>
      <w:r w:rsidRPr="00E51BCF">
        <w:rPr>
          <w:rFonts w:ascii="Arial" w:hAnsi="Arial" w:cs="Arial"/>
          <w:b/>
          <w:bCs/>
          <w:sz w:val="24"/>
          <w:szCs w:val="24"/>
        </w:rPr>
        <w:t>Staff</w:t>
      </w:r>
    </w:p>
    <w:p w14:paraId="6FDBF186" w14:textId="3E9640F3" w:rsidR="00D86D0A" w:rsidRPr="00D86D0A" w:rsidRDefault="00D86D0A" w:rsidP="00D86D0A">
      <w:pPr>
        <w:spacing w:after="0" w:line="240" w:lineRule="auto"/>
        <w:jc w:val="both"/>
        <w:rPr>
          <w:rFonts w:ascii="Arial" w:hAnsi="Arial" w:cs="Arial"/>
          <w:sz w:val="24"/>
          <w:szCs w:val="24"/>
        </w:rPr>
      </w:pPr>
    </w:p>
    <w:p w14:paraId="63CD8B07" w14:textId="77777777" w:rsidR="00D86D0A" w:rsidRPr="00D86D0A" w:rsidRDefault="00D86D0A" w:rsidP="008122B2">
      <w:pPr>
        <w:spacing w:after="0" w:line="240" w:lineRule="auto"/>
        <w:ind w:left="720"/>
        <w:jc w:val="both"/>
        <w:rPr>
          <w:rFonts w:ascii="Arial" w:hAnsi="Arial" w:cs="Arial"/>
          <w:sz w:val="24"/>
          <w:szCs w:val="24"/>
        </w:rPr>
      </w:pPr>
      <w:r w:rsidRPr="00D86D0A">
        <w:rPr>
          <w:rFonts w:ascii="Arial" w:hAnsi="Arial" w:cs="Arial"/>
          <w:sz w:val="24"/>
          <w:szCs w:val="24"/>
        </w:rPr>
        <w:t xml:space="preserve">This item shall include all salaries, wages, fringe benefits (the amount of which is computed either in accordance with the provisions of the Income Tax Act, 1962, or </w:t>
      </w:r>
      <w:proofErr w:type="gramStart"/>
      <w:r w:rsidRPr="00D86D0A">
        <w:rPr>
          <w:rFonts w:ascii="Arial" w:hAnsi="Arial" w:cs="Arial"/>
          <w:sz w:val="24"/>
          <w:szCs w:val="24"/>
        </w:rPr>
        <w:t>on the basis of</w:t>
      </w:r>
      <w:proofErr w:type="gramEnd"/>
      <w:r w:rsidRPr="00D86D0A">
        <w:rPr>
          <w:rFonts w:ascii="Arial" w:hAnsi="Arial" w:cs="Arial"/>
          <w:sz w:val="24"/>
          <w:szCs w:val="24"/>
        </w:rPr>
        <w:t xml:space="preserve"> opportunity cost), the institutions contributions to pension and provident funds, medical schemes, and all other costs directly related to the staff complement.</w:t>
      </w:r>
    </w:p>
    <w:p w14:paraId="5F5B745E" w14:textId="2546743C" w:rsidR="00D86D0A" w:rsidRPr="00D86D0A" w:rsidRDefault="00D86D0A" w:rsidP="00D86D0A">
      <w:pPr>
        <w:spacing w:after="0" w:line="240" w:lineRule="auto"/>
        <w:jc w:val="both"/>
        <w:rPr>
          <w:rFonts w:ascii="Arial" w:hAnsi="Arial" w:cs="Arial"/>
          <w:sz w:val="24"/>
          <w:szCs w:val="24"/>
        </w:rPr>
      </w:pPr>
    </w:p>
    <w:p w14:paraId="528C1868" w14:textId="1E5EE49D" w:rsidR="00D86D0A" w:rsidRPr="00E51BCF" w:rsidRDefault="00D86D0A" w:rsidP="00D86D0A">
      <w:pPr>
        <w:spacing w:after="0" w:line="240" w:lineRule="auto"/>
        <w:jc w:val="both"/>
        <w:rPr>
          <w:rFonts w:ascii="Arial" w:hAnsi="Arial" w:cs="Arial"/>
          <w:b/>
          <w:bCs/>
          <w:sz w:val="24"/>
          <w:szCs w:val="24"/>
        </w:rPr>
      </w:pPr>
      <w:r w:rsidRPr="00E51BCF">
        <w:rPr>
          <w:rFonts w:ascii="Arial" w:hAnsi="Arial" w:cs="Arial"/>
          <w:b/>
          <w:bCs/>
          <w:sz w:val="24"/>
          <w:szCs w:val="24"/>
        </w:rPr>
        <w:t>56.</w:t>
      </w:r>
      <w:r w:rsidR="008122B2" w:rsidRPr="00E51BCF">
        <w:rPr>
          <w:rFonts w:ascii="Arial" w:hAnsi="Arial" w:cs="Arial"/>
          <w:b/>
          <w:bCs/>
          <w:sz w:val="24"/>
          <w:szCs w:val="24"/>
        </w:rPr>
        <w:tab/>
      </w:r>
      <w:r w:rsidRPr="00E51BCF">
        <w:rPr>
          <w:rFonts w:ascii="Arial" w:hAnsi="Arial" w:cs="Arial"/>
          <w:b/>
          <w:bCs/>
          <w:sz w:val="24"/>
          <w:szCs w:val="24"/>
        </w:rPr>
        <w:t>Gross-up adjustment</w:t>
      </w:r>
    </w:p>
    <w:p w14:paraId="63913AF3" w14:textId="39752E6E" w:rsidR="00D86D0A" w:rsidRPr="00D86D0A" w:rsidRDefault="00D86D0A" w:rsidP="00D86D0A">
      <w:pPr>
        <w:spacing w:after="0" w:line="240" w:lineRule="auto"/>
        <w:jc w:val="both"/>
        <w:rPr>
          <w:rFonts w:ascii="Arial" w:hAnsi="Arial" w:cs="Arial"/>
          <w:sz w:val="24"/>
          <w:szCs w:val="24"/>
        </w:rPr>
      </w:pPr>
    </w:p>
    <w:p w14:paraId="558F6F11" w14:textId="77777777" w:rsidR="00D86D0A" w:rsidRPr="00D86D0A" w:rsidRDefault="00D86D0A" w:rsidP="008122B2">
      <w:pPr>
        <w:spacing w:after="0" w:line="240" w:lineRule="auto"/>
        <w:ind w:left="720"/>
        <w:jc w:val="both"/>
        <w:rPr>
          <w:rFonts w:ascii="Arial" w:hAnsi="Arial" w:cs="Arial"/>
          <w:sz w:val="24"/>
          <w:szCs w:val="24"/>
        </w:rPr>
      </w:pPr>
      <w:r w:rsidRPr="00D86D0A">
        <w:rPr>
          <w:rFonts w:ascii="Arial" w:hAnsi="Arial" w:cs="Arial"/>
          <w:sz w:val="24"/>
          <w:szCs w:val="24"/>
        </w:rPr>
        <w:t xml:space="preserve">Where a reporting mutual bank has reported a tax-exempt amount against any of the </w:t>
      </w:r>
      <w:proofErr w:type="spellStart"/>
      <w:r w:rsidRPr="00D86D0A">
        <w:rPr>
          <w:rFonts w:ascii="Arial" w:hAnsi="Arial" w:cs="Arial"/>
          <w:sz w:val="24"/>
          <w:szCs w:val="24"/>
        </w:rPr>
        <w:t>aforegoing</w:t>
      </w:r>
      <w:proofErr w:type="spellEnd"/>
      <w:r w:rsidRPr="00D86D0A">
        <w:rPr>
          <w:rFonts w:ascii="Arial" w:hAnsi="Arial" w:cs="Arial"/>
          <w:sz w:val="24"/>
          <w:szCs w:val="24"/>
        </w:rPr>
        <w:t xml:space="preserve"> items at a notional pre-tax value, the relevant contra entry shall be reflected under this item.</w:t>
      </w:r>
    </w:p>
    <w:p w14:paraId="7AA4C380" w14:textId="5F83122B" w:rsidR="00D86D0A" w:rsidRPr="00D86D0A" w:rsidRDefault="00D86D0A" w:rsidP="00D86D0A">
      <w:pPr>
        <w:spacing w:after="0" w:line="240" w:lineRule="auto"/>
        <w:jc w:val="both"/>
        <w:rPr>
          <w:rFonts w:ascii="Arial" w:hAnsi="Arial" w:cs="Arial"/>
          <w:sz w:val="24"/>
          <w:szCs w:val="24"/>
        </w:rPr>
      </w:pPr>
    </w:p>
    <w:p w14:paraId="1DED0E06" w14:textId="22A584B6" w:rsidR="00D86D0A" w:rsidRPr="00E51BCF" w:rsidRDefault="00D86D0A" w:rsidP="00D86D0A">
      <w:pPr>
        <w:spacing w:after="0" w:line="240" w:lineRule="auto"/>
        <w:jc w:val="both"/>
        <w:rPr>
          <w:rFonts w:ascii="Arial" w:hAnsi="Arial" w:cs="Arial"/>
          <w:b/>
          <w:bCs/>
          <w:sz w:val="24"/>
          <w:szCs w:val="24"/>
        </w:rPr>
      </w:pPr>
      <w:r w:rsidRPr="00E51BCF">
        <w:rPr>
          <w:rFonts w:ascii="Arial" w:hAnsi="Arial" w:cs="Arial"/>
          <w:b/>
          <w:bCs/>
          <w:sz w:val="24"/>
          <w:szCs w:val="24"/>
        </w:rPr>
        <w:t>61.</w:t>
      </w:r>
      <w:r w:rsidR="008122B2" w:rsidRPr="00E51BCF">
        <w:rPr>
          <w:rFonts w:ascii="Arial" w:hAnsi="Arial" w:cs="Arial"/>
          <w:b/>
          <w:bCs/>
          <w:sz w:val="24"/>
          <w:szCs w:val="24"/>
        </w:rPr>
        <w:tab/>
      </w:r>
      <w:r w:rsidRPr="00E51BCF">
        <w:rPr>
          <w:rFonts w:ascii="Arial" w:hAnsi="Arial" w:cs="Arial"/>
          <w:b/>
          <w:bCs/>
          <w:sz w:val="24"/>
          <w:szCs w:val="24"/>
        </w:rPr>
        <w:t>Reserves - Transfers to</w:t>
      </w:r>
    </w:p>
    <w:p w14:paraId="2A3FADDC" w14:textId="42E10D4A" w:rsidR="00D86D0A" w:rsidRPr="00D86D0A" w:rsidRDefault="00D86D0A" w:rsidP="00D86D0A">
      <w:pPr>
        <w:spacing w:after="0" w:line="240" w:lineRule="auto"/>
        <w:jc w:val="both"/>
        <w:rPr>
          <w:rFonts w:ascii="Arial" w:hAnsi="Arial" w:cs="Arial"/>
          <w:sz w:val="24"/>
          <w:szCs w:val="24"/>
        </w:rPr>
      </w:pPr>
    </w:p>
    <w:p w14:paraId="67FD94CE" w14:textId="77777777" w:rsidR="00D86D0A" w:rsidRPr="00D86D0A" w:rsidRDefault="00D86D0A" w:rsidP="008122B2">
      <w:pPr>
        <w:spacing w:after="0" w:line="240" w:lineRule="auto"/>
        <w:ind w:left="720"/>
        <w:jc w:val="both"/>
        <w:rPr>
          <w:rFonts w:ascii="Arial" w:hAnsi="Arial" w:cs="Arial"/>
          <w:sz w:val="24"/>
          <w:szCs w:val="24"/>
        </w:rPr>
      </w:pPr>
      <w:r w:rsidRPr="00D86D0A">
        <w:rPr>
          <w:rFonts w:ascii="Arial" w:hAnsi="Arial" w:cs="Arial"/>
          <w:sz w:val="24"/>
          <w:szCs w:val="24"/>
        </w:rPr>
        <w:t>This item shall include all transfers to reserves, including the creation or increase of a taxation equalisation reserve.</w:t>
      </w:r>
    </w:p>
    <w:p w14:paraId="06429268" w14:textId="4EC79B2F" w:rsidR="00D86D0A" w:rsidRPr="00D86D0A" w:rsidRDefault="00D86D0A" w:rsidP="00D86D0A">
      <w:pPr>
        <w:spacing w:after="0" w:line="240" w:lineRule="auto"/>
        <w:jc w:val="both"/>
        <w:rPr>
          <w:rFonts w:ascii="Arial" w:hAnsi="Arial" w:cs="Arial"/>
          <w:sz w:val="24"/>
          <w:szCs w:val="24"/>
        </w:rPr>
      </w:pPr>
    </w:p>
    <w:p w14:paraId="42F76504" w14:textId="64173D7F" w:rsidR="00D86D0A" w:rsidRPr="00E51BCF" w:rsidRDefault="00D86D0A" w:rsidP="00D86D0A">
      <w:pPr>
        <w:spacing w:after="0" w:line="240" w:lineRule="auto"/>
        <w:jc w:val="both"/>
        <w:rPr>
          <w:rFonts w:ascii="Arial" w:hAnsi="Arial" w:cs="Arial"/>
          <w:b/>
          <w:bCs/>
          <w:sz w:val="24"/>
          <w:szCs w:val="24"/>
        </w:rPr>
      </w:pPr>
      <w:r w:rsidRPr="00E51BCF">
        <w:rPr>
          <w:rFonts w:ascii="Arial" w:hAnsi="Arial" w:cs="Arial"/>
          <w:b/>
          <w:bCs/>
          <w:sz w:val="24"/>
          <w:szCs w:val="24"/>
        </w:rPr>
        <w:t>62.</w:t>
      </w:r>
      <w:r w:rsidR="008122B2" w:rsidRPr="00E51BCF">
        <w:rPr>
          <w:rFonts w:ascii="Arial" w:hAnsi="Arial" w:cs="Arial"/>
          <w:b/>
          <w:bCs/>
          <w:sz w:val="24"/>
          <w:szCs w:val="24"/>
        </w:rPr>
        <w:tab/>
      </w:r>
      <w:r w:rsidRPr="00E51BCF">
        <w:rPr>
          <w:rFonts w:ascii="Arial" w:hAnsi="Arial" w:cs="Arial"/>
          <w:b/>
          <w:bCs/>
          <w:sz w:val="24"/>
          <w:szCs w:val="24"/>
        </w:rPr>
        <w:t>Reserves - Transfers from</w:t>
      </w:r>
    </w:p>
    <w:p w14:paraId="27EB1E00" w14:textId="6A9F2D37" w:rsidR="00D86D0A" w:rsidRPr="00D86D0A" w:rsidRDefault="00D86D0A" w:rsidP="00D86D0A">
      <w:pPr>
        <w:spacing w:after="0" w:line="240" w:lineRule="auto"/>
        <w:jc w:val="both"/>
        <w:rPr>
          <w:rFonts w:ascii="Arial" w:hAnsi="Arial" w:cs="Arial"/>
          <w:sz w:val="24"/>
          <w:szCs w:val="24"/>
        </w:rPr>
      </w:pPr>
    </w:p>
    <w:p w14:paraId="01EAADC9" w14:textId="77777777" w:rsidR="00D86D0A" w:rsidRPr="00D86D0A" w:rsidRDefault="00D86D0A" w:rsidP="008122B2">
      <w:pPr>
        <w:spacing w:after="0" w:line="240" w:lineRule="auto"/>
        <w:ind w:left="720"/>
        <w:jc w:val="both"/>
        <w:rPr>
          <w:rFonts w:ascii="Arial" w:hAnsi="Arial" w:cs="Arial"/>
          <w:sz w:val="24"/>
          <w:szCs w:val="24"/>
        </w:rPr>
      </w:pPr>
      <w:r w:rsidRPr="00D86D0A">
        <w:rPr>
          <w:rFonts w:ascii="Arial" w:hAnsi="Arial" w:cs="Arial"/>
          <w:sz w:val="24"/>
          <w:szCs w:val="24"/>
        </w:rPr>
        <w:t>This item shall include all transfers from reserves, including the utilisation of a taxation equalisation reserve.</w:t>
      </w:r>
    </w:p>
    <w:p w14:paraId="3583592B" w14:textId="77777777" w:rsidR="00F72CCE" w:rsidRPr="00F72CCE" w:rsidRDefault="00F72CCE" w:rsidP="00D86D0A">
      <w:pPr>
        <w:spacing w:after="0" w:line="240" w:lineRule="auto"/>
        <w:jc w:val="both"/>
        <w:rPr>
          <w:rFonts w:ascii="Arial" w:hAnsi="Arial" w:cs="Arial"/>
          <w:sz w:val="24"/>
          <w:szCs w:val="24"/>
        </w:rPr>
      </w:pPr>
    </w:p>
    <w:sectPr w:rsidR="00F72CCE" w:rsidRPr="00F72CCE">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768A1" w14:textId="77777777" w:rsidR="007430D6" w:rsidRDefault="007430D6" w:rsidP="00F72CCE">
      <w:pPr>
        <w:spacing w:after="0" w:line="240" w:lineRule="auto"/>
      </w:pPr>
      <w:r>
        <w:separator/>
      </w:r>
    </w:p>
  </w:endnote>
  <w:endnote w:type="continuationSeparator" w:id="0">
    <w:p w14:paraId="188629B1" w14:textId="77777777" w:rsidR="007430D6" w:rsidRDefault="007430D6" w:rsidP="00F72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3611956"/>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545425B8" w14:textId="6A5CE771" w:rsidR="00F72CCE" w:rsidRPr="00F72CCE" w:rsidRDefault="00F72CCE">
            <w:pPr>
              <w:pStyle w:val="Footer"/>
              <w:jc w:val="right"/>
              <w:rPr>
                <w:rFonts w:ascii="Arial" w:hAnsi="Arial" w:cs="Arial"/>
              </w:rPr>
            </w:pPr>
            <w:r w:rsidRPr="00F72CCE">
              <w:rPr>
                <w:rFonts w:ascii="Arial" w:hAnsi="Arial" w:cs="Arial"/>
              </w:rPr>
              <w:t xml:space="preserve">Page </w:t>
            </w:r>
            <w:r w:rsidRPr="00F72CCE">
              <w:rPr>
                <w:rFonts w:ascii="Arial" w:hAnsi="Arial" w:cs="Arial"/>
                <w:b/>
                <w:bCs/>
                <w:sz w:val="24"/>
                <w:szCs w:val="24"/>
              </w:rPr>
              <w:fldChar w:fldCharType="begin"/>
            </w:r>
            <w:r w:rsidRPr="00F72CCE">
              <w:rPr>
                <w:rFonts w:ascii="Arial" w:hAnsi="Arial" w:cs="Arial"/>
                <w:b/>
                <w:bCs/>
              </w:rPr>
              <w:instrText xml:space="preserve"> PAGE </w:instrText>
            </w:r>
            <w:r w:rsidRPr="00F72CCE">
              <w:rPr>
                <w:rFonts w:ascii="Arial" w:hAnsi="Arial" w:cs="Arial"/>
                <w:b/>
                <w:bCs/>
                <w:sz w:val="24"/>
                <w:szCs w:val="24"/>
              </w:rPr>
              <w:fldChar w:fldCharType="separate"/>
            </w:r>
            <w:r w:rsidRPr="00F72CCE">
              <w:rPr>
                <w:rFonts w:ascii="Arial" w:hAnsi="Arial" w:cs="Arial"/>
                <w:b/>
                <w:bCs/>
                <w:noProof/>
              </w:rPr>
              <w:t>2</w:t>
            </w:r>
            <w:r w:rsidRPr="00F72CCE">
              <w:rPr>
                <w:rFonts w:ascii="Arial" w:hAnsi="Arial" w:cs="Arial"/>
                <w:b/>
                <w:bCs/>
                <w:sz w:val="24"/>
                <w:szCs w:val="24"/>
              </w:rPr>
              <w:fldChar w:fldCharType="end"/>
            </w:r>
            <w:r w:rsidRPr="00F72CCE">
              <w:rPr>
                <w:rFonts w:ascii="Arial" w:hAnsi="Arial" w:cs="Arial"/>
              </w:rPr>
              <w:t xml:space="preserve"> of </w:t>
            </w:r>
            <w:r w:rsidRPr="00F72CCE">
              <w:rPr>
                <w:rFonts w:ascii="Arial" w:hAnsi="Arial" w:cs="Arial"/>
                <w:b/>
                <w:bCs/>
                <w:sz w:val="24"/>
                <w:szCs w:val="24"/>
              </w:rPr>
              <w:fldChar w:fldCharType="begin"/>
            </w:r>
            <w:r w:rsidRPr="00F72CCE">
              <w:rPr>
                <w:rFonts w:ascii="Arial" w:hAnsi="Arial" w:cs="Arial"/>
                <w:b/>
                <w:bCs/>
              </w:rPr>
              <w:instrText xml:space="preserve"> NUMPAGES  </w:instrText>
            </w:r>
            <w:r w:rsidRPr="00F72CCE">
              <w:rPr>
                <w:rFonts w:ascii="Arial" w:hAnsi="Arial" w:cs="Arial"/>
                <w:b/>
                <w:bCs/>
                <w:sz w:val="24"/>
                <w:szCs w:val="24"/>
              </w:rPr>
              <w:fldChar w:fldCharType="separate"/>
            </w:r>
            <w:r w:rsidRPr="00F72CCE">
              <w:rPr>
                <w:rFonts w:ascii="Arial" w:hAnsi="Arial" w:cs="Arial"/>
                <w:b/>
                <w:bCs/>
                <w:noProof/>
              </w:rPr>
              <w:t>2</w:t>
            </w:r>
            <w:r w:rsidRPr="00F72CCE">
              <w:rPr>
                <w:rFonts w:ascii="Arial" w:hAnsi="Arial" w:cs="Arial"/>
                <w:b/>
                <w:bCs/>
                <w:sz w:val="24"/>
                <w:szCs w:val="24"/>
              </w:rPr>
              <w:fldChar w:fldCharType="end"/>
            </w:r>
          </w:p>
        </w:sdtContent>
      </w:sdt>
    </w:sdtContent>
  </w:sdt>
  <w:p w14:paraId="5F796835" w14:textId="77777777" w:rsidR="00F72CCE" w:rsidRDefault="00F72C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B8FA9" w14:textId="77777777" w:rsidR="007430D6" w:rsidRDefault="007430D6" w:rsidP="00F72CCE">
      <w:pPr>
        <w:spacing w:after="0" w:line="240" w:lineRule="auto"/>
      </w:pPr>
      <w:r>
        <w:separator/>
      </w:r>
    </w:p>
  </w:footnote>
  <w:footnote w:type="continuationSeparator" w:id="0">
    <w:p w14:paraId="36E26406" w14:textId="77777777" w:rsidR="007430D6" w:rsidRDefault="007430D6" w:rsidP="00F72C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01EC0"/>
    <w:multiLevelType w:val="hybridMultilevel"/>
    <w:tmpl w:val="208C0DC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9204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CCE"/>
    <w:rsid w:val="00034499"/>
    <w:rsid w:val="000F6244"/>
    <w:rsid w:val="00167B31"/>
    <w:rsid w:val="002D4C86"/>
    <w:rsid w:val="004716AA"/>
    <w:rsid w:val="004F1EE2"/>
    <w:rsid w:val="005B2380"/>
    <w:rsid w:val="006D73BA"/>
    <w:rsid w:val="007430D6"/>
    <w:rsid w:val="007C639F"/>
    <w:rsid w:val="008122B2"/>
    <w:rsid w:val="00845843"/>
    <w:rsid w:val="008D18A6"/>
    <w:rsid w:val="0093469F"/>
    <w:rsid w:val="00A07255"/>
    <w:rsid w:val="00B325CF"/>
    <w:rsid w:val="00BB5268"/>
    <w:rsid w:val="00BD46A5"/>
    <w:rsid w:val="00C359AD"/>
    <w:rsid w:val="00CF3802"/>
    <w:rsid w:val="00D86D0A"/>
    <w:rsid w:val="00E51BCF"/>
    <w:rsid w:val="00F72CCE"/>
    <w:rsid w:val="00FB34B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EFD24"/>
  <w15:chartTrackingRefBased/>
  <w15:docId w15:val="{2F135A65-CB56-48DB-9965-8000D6DC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C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2C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2C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2C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2C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2C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2C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2C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2C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C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2C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2C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2C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2C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2C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2C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2C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2CCE"/>
    <w:rPr>
      <w:rFonts w:eastAsiaTheme="majorEastAsia" w:cstheme="majorBidi"/>
      <w:color w:val="272727" w:themeColor="text1" w:themeTint="D8"/>
    </w:rPr>
  </w:style>
  <w:style w:type="paragraph" w:styleId="Title">
    <w:name w:val="Title"/>
    <w:basedOn w:val="Normal"/>
    <w:next w:val="Normal"/>
    <w:link w:val="TitleChar"/>
    <w:uiPriority w:val="10"/>
    <w:qFormat/>
    <w:rsid w:val="00F72C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2C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2C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2C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2CCE"/>
    <w:pPr>
      <w:spacing w:before="160"/>
      <w:jc w:val="center"/>
    </w:pPr>
    <w:rPr>
      <w:i/>
      <w:iCs/>
      <w:color w:val="404040" w:themeColor="text1" w:themeTint="BF"/>
    </w:rPr>
  </w:style>
  <w:style w:type="character" w:customStyle="1" w:styleId="QuoteChar">
    <w:name w:val="Quote Char"/>
    <w:basedOn w:val="DefaultParagraphFont"/>
    <w:link w:val="Quote"/>
    <w:uiPriority w:val="29"/>
    <w:rsid w:val="00F72CCE"/>
    <w:rPr>
      <w:i/>
      <w:iCs/>
      <w:color w:val="404040" w:themeColor="text1" w:themeTint="BF"/>
    </w:rPr>
  </w:style>
  <w:style w:type="paragraph" w:styleId="ListParagraph">
    <w:name w:val="List Paragraph"/>
    <w:basedOn w:val="Normal"/>
    <w:uiPriority w:val="34"/>
    <w:qFormat/>
    <w:rsid w:val="00F72CCE"/>
    <w:pPr>
      <w:ind w:left="720"/>
      <w:contextualSpacing/>
    </w:pPr>
  </w:style>
  <w:style w:type="character" w:styleId="IntenseEmphasis">
    <w:name w:val="Intense Emphasis"/>
    <w:basedOn w:val="DefaultParagraphFont"/>
    <w:uiPriority w:val="21"/>
    <w:qFormat/>
    <w:rsid w:val="00F72CCE"/>
    <w:rPr>
      <w:i/>
      <w:iCs/>
      <w:color w:val="0F4761" w:themeColor="accent1" w:themeShade="BF"/>
    </w:rPr>
  </w:style>
  <w:style w:type="paragraph" w:styleId="IntenseQuote">
    <w:name w:val="Intense Quote"/>
    <w:basedOn w:val="Normal"/>
    <w:next w:val="Normal"/>
    <w:link w:val="IntenseQuoteChar"/>
    <w:uiPriority w:val="30"/>
    <w:qFormat/>
    <w:rsid w:val="00F72C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2CCE"/>
    <w:rPr>
      <w:i/>
      <w:iCs/>
      <w:color w:val="0F4761" w:themeColor="accent1" w:themeShade="BF"/>
    </w:rPr>
  </w:style>
  <w:style w:type="character" w:styleId="IntenseReference">
    <w:name w:val="Intense Reference"/>
    <w:basedOn w:val="DefaultParagraphFont"/>
    <w:uiPriority w:val="32"/>
    <w:qFormat/>
    <w:rsid w:val="00F72CCE"/>
    <w:rPr>
      <w:b/>
      <w:bCs/>
      <w:smallCaps/>
      <w:color w:val="0F4761" w:themeColor="accent1" w:themeShade="BF"/>
      <w:spacing w:val="5"/>
    </w:rPr>
  </w:style>
  <w:style w:type="paragraph" w:styleId="Header">
    <w:name w:val="header"/>
    <w:basedOn w:val="Normal"/>
    <w:link w:val="HeaderChar"/>
    <w:uiPriority w:val="99"/>
    <w:unhideWhenUsed/>
    <w:rsid w:val="00F72C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2CCE"/>
  </w:style>
  <w:style w:type="paragraph" w:styleId="Footer">
    <w:name w:val="footer"/>
    <w:basedOn w:val="Normal"/>
    <w:link w:val="FooterChar"/>
    <w:uiPriority w:val="99"/>
    <w:unhideWhenUsed/>
    <w:rsid w:val="00F72C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2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67140">
      <w:bodyDiv w:val="1"/>
      <w:marLeft w:val="0"/>
      <w:marRight w:val="0"/>
      <w:marTop w:val="0"/>
      <w:marBottom w:val="0"/>
      <w:divBdr>
        <w:top w:val="none" w:sz="0" w:space="0" w:color="auto"/>
        <w:left w:val="none" w:sz="0" w:space="0" w:color="auto"/>
        <w:bottom w:val="none" w:sz="0" w:space="0" w:color="auto"/>
        <w:right w:val="none" w:sz="0" w:space="0" w:color="auto"/>
      </w:divBdr>
    </w:div>
    <w:div w:id="1319724263">
      <w:bodyDiv w:val="1"/>
      <w:marLeft w:val="0"/>
      <w:marRight w:val="0"/>
      <w:marTop w:val="0"/>
      <w:marBottom w:val="0"/>
      <w:divBdr>
        <w:top w:val="none" w:sz="0" w:space="0" w:color="auto"/>
        <w:left w:val="none" w:sz="0" w:space="0" w:color="auto"/>
        <w:bottom w:val="none" w:sz="0" w:space="0" w:color="auto"/>
        <w:right w:val="none" w:sz="0" w:space="0" w:color="auto"/>
      </w:divBdr>
    </w:div>
    <w:div w:id="139211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42CA1A3EF3CA49A7267E001CC5DA2B" ma:contentTypeVersion="4" ma:contentTypeDescription="Create a new document." ma:contentTypeScope="" ma:versionID="711fad9bd4ee3cfdbf34b9b3c551a46b">
  <xsd:schema xmlns:xsd="http://www.w3.org/2001/XMLSchema" xmlns:xs="http://www.w3.org/2001/XMLSchema" xmlns:p="http://schemas.microsoft.com/office/2006/metadata/properties" xmlns:ns2="5f2fb132-bb82-4cf7-820b-340297f9a1c2" targetNamespace="http://schemas.microsoft.com/office/2006/metadata/properties" ma:root="true" ma:fieldsID="e5b5628f9708c5151423b29a211275ae" ns2:_="">
    <xsd:import namespace="5f2fb132-bb82-4cf7-820b-340297f9a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fb132-bb82-4cf7-820b-340297f9a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601302-0D9A-4624-A435-D3A5EDD1B3EB}"/>
</file>

<file path=customXml/itemProps2.xml><?xml version="1.0" encoding="utf-8"?>
<ds:datastoreItem xmlns:ds="http://schemas.openxmlformats.org/officeDocument/2006/customXml" ds:itemID="{50077B31-2049-46FD-AA3B-FA5665952FDB}"/>
</file>

<file path=customXml/itemProps3.xml><?xml version="1.0" encoding="utf-8"?>
<ds:datastoreItem xmlns:ds="http://schemas.openxmlformats.org/officeDocument/2006/customXml" ds:itemID="{D794F16F-2E1E-462C-B2FB-3C2599E8F17C}"/>
</file>

<file path=docMetadata/LabelInfo.xml><?xml version="1.0" encoding="utf-8"?>
<clbl:labelList xmlns:clbl="http://schemas.microsoft.com/office/2020/mipLabelMetadata">
  <clbl:label id="{70c52299-74de-4dfd-b117-c9c408edfa50}" enabled="1" method="Standard" siteId="{853cbaab-a620-4178-8933-88d76414184a}"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Resbank</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Elize Myburgh</dc:creator>
  <cp:keywords/>
  <dc:description/>
  <cp:lastModifiedBy>Elize Myburgh</cp:lastModifiedBy>
  <cp:revision>14</cp:revision>
  <dcterms:created xsi:type="dcterms:W3CDTF">2025-02-05T11:44:00Z</dcterms:created>
  <dcterms:modified xsi:type="dcterms:W3CDTF">2025-02-06T08:34:00Z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0x0101002C42CA1A3EF3CA49A7267E001CC5DA2B</vt:lpwstr>
  </property>
  <property fmtid="{D5CDD505-2E9C-101B-9397-08002B2CF9AE}" pid="4" name="docLang">
    <vt:lpwstr>en</vt:lpwstr>
  </property>
</Properties>
</file>